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eastAsia="en-GB"/>
        </w:rPr>
        <w:t>3GPP TSG RAN3 meeting #11</w:t>
      </w:r>
      <w:r>
        <w:rPr>
          <w:rFonts w:hint="default" w:ascii="Times New Roman" w:hAnsi="Times New Roman" w:eastAsia="宋体" w:cs="Times New Roman"/>
          <w:b/>
          <w:sz w:val="28"/>
          <w:szCs w:val="28"/>
          <w:lang w:val="en-US" w:eastAsia="zh-CN"/>
        </w:rPr>
        <w:t>7</w:t>
      </w:r>
      <w:r>
        <w:rPr>
          <w:rFonts w:hint="default" w:ascii="Times New Roman" w:hAnsi="Times New Roman" w:eastAsia="宋体" w:cs="Times New Roman"/>
          <w:b/>
          <w:sz w:val="28"/>
          <w:szCs w:val="28"/>
          <w:lang w:eastAsia="en-GB"/>
        </w:rPr>
        <w:t>-e</w:t>
      </w:r>
      <w:r>
        <w:rPr>
          <w:rFonts w:hint="default" w:ascii="Times New Roman" w:hAnsi="Times New Roman" w:eastAsia="宋体" w:cs="Times New Roman"/>
          <w:b/>
          <w:sz w:val="28"/>
          <w:szCs w:val="28"/>
          <w:lang w:eastAsia="en-GB"/>
        </w:rPr>
        <w:tab/>
      </w:r>
      <w:r>
        <w:rPr>
          <w:rFonts w:hint="default" w:ascii="Times New Roman" w:hAnsi="Times New Roman" w:eastAsia="宋体" w:cs="Times New Roman"/>
          <w:b/>
          <w:sz w:val="28"/>
          <w:szCs w:val="28"/>
          <w:lang w:eastAsia="en-GB"/>
        </w:rPr>
        <w:tab/>
      </w:r>
      <w:r>
        <w:rPr>
          <w:rFonts w:hint="default" w:ascii="Times New Roman" w:hAnsi="Times New Roman" w:eastAsia="宋体" w:cs="Times New Roman"/>
          <w:b/>
          <w:sz w:val="28"/>
          <w:szCs w:val="28"/>
          <w:lang w:eastAsia="en-GB"/>
        </w:rPr>
        <w:tab/>
      </w:r>
      <w:r>
        <w:rPr>
          <w:rFonts w:hint="default" w:ascii="Times New Roman" w:hAnsi="Times New Roman" w:eastAsia="宋体" w:cs="Times New Roman"/>
          <w:b/>
          <w:sz w:val="28"/>
          <w:szCs w:val="28"/>
          <w:lang w:eastAsia="en-GB"/>
        </w:rPr>
        <w:t>R3-22</w:t>
      </w:r>
      <w:r>
        <w:rPr>
          <w:rFonts w:hint="eastAsia" w:ascii="Times New Roman" w:hAnsi="Times New Roman" w:eastAsia="宋体" w:cs="Times New Roman"/>
          <w:b/>
          <w:sz w:val="28"/>
          <w:szCs w:val="28"/>
          <w:lang w:val="en-US" w:eastAsia="zh-CN"/>
        </w:rPr>
        <w:t>4866</w:t>
      </w:r>
    </w:p>
    <w:p>
      <w:pPr>
        <w:pStyle w:val="34"/>
        <w:jc w:val="left"/>
        <w:rPr>
          <w:rFonts w:hint="default" w:ascii="Times New Roman" w:hAnsi="Times New Roman" w:cs="Times New Roman"/>
          <w:szCs w:val="22"/>
        </w:rPr>
      </w:pPr>
      <w:r>
        <w:rPr>
          <w:rFonts w:hint="default" w:ascii="Times New Roman" w:hAnsi="Times New Roman" w:eastAsia="宋体" w:cs="Times New Roman"/>
          <w:sz w:val="28"/>
          <w:szCs w:val="28"/>
          <w:lang w:val="en-US" w:eastAsia="zh-CN"/>
        </w:rPr>
        <w:t>15</w:t>
      </w:r>
      <w:r>
        <w:rPr>
          <w:rFonts w:hint="default" w:ascii="Times New Roman" w:hAnsi="Times New Roman" w:eastAsia="宋体" w:cs="Times New Roman"/>
          <w:sz w:val="28"/>
          <w:szCs w:val="28"/>
          <w:lang w:eastAsia="ko-KR"/>
        </w:rPr>
        <w:t xml:space="preserve">th </w:t>
      </w:r>
      <w:r>
        <w:rPr>
          <w:rFonts w:hint="default" w:ascii="Times New Roman" w:hAnsi="Times New Roman" w:eastAsia="宋体" w:cs="Times New Roman"/>
          <w:sz w:val="28"/>
          <w:szCs w:val="28"/>
          <w:lang w:val="en-US" w:eastAsia="zh-CN"/>
        </w:rPr>
        <w:t>Aug</w:t>
      </w:r>
      <w:r>
        <w:rPr>
          <w:rFonts w:hint="default" w:ascii="Times New Roman" w:hAnsi="Times New Roman" w:eastAsia="宋体" w:cs="Times New Roman"/>
          <w:sz w:val="28"/>
          <w:szCs w:val="28"/>
          <w:lang w:eastAsia="ko-KR"/>
        </w:rPr>
        <w:t xml:space="preserve"> – </w:t>
      </w:r>
      <w:r>
        <w:rPr>
          <w:rFonts w:hint="default" w:ascii="Times New Roman" w:hAnsi="Times New Roman" w:eastAsia="宋体" w:cs="Times New Roman"/>
          <w:sz w:val="28"/>
          <w:szCs w:val="28"/>
          <w:lang w:val="en-US" w:eastAsia="zh-CN"/>
        </w:rPr>
        <w:t>24th</w:t>
      </w:r>
      <w:r>
        <w:rPr>
          <w:rFonts w:hint="default" w:ascii="Times New Roman" w:hAnsi="Times New Roman" w:eastAsia="宋体" w:cs="Times New Roman"/>
          <w:sz w:val="28"/>
          <w:szCs w:val="28"/>
          <w:lang w:eastAsia="ko-KR"/>
        </w:rPr>
        <w:t xml:space="preserve"> </w:t>
      </w:r>
      <w:r>
        <w:rPr>
          <w:rFonts w:hint="default" w:ascii="Times New Roman" w:hAnsi="Times New Roman" w:eastAsia="宋体" w:cs="Times New Roman"/>
          <w:sz w:val="28"/>
          <w:szCs w:val="28"/>
          <w:lang w:val="en-US" w:eastAsia="zh-CN"/>
        </w:rPr>
        <w:t>Aug</w:t>
      </w:r>
      <w:r>
        <w:rPr>
          <w:rFonts w:hint="default" w:ascii="Times New Roman" w:hAnsi="Times New Roman" w:eastAsia="宋体" w:cs="Times New Roman"/>
          <w:sz w:val="28"/>
          <w:szCs w:val="28"/>
          <w:lang w:eastAsia="ko-KR"/>
        </w:rPr>
        <w:t xml:space="preserve"> 2022 Online</w:t>
      </w:r>
    </w:p>
    <w:p>
      <w:pPr>
        <w:pStyle w:val="34"/>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Agenda Item:</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lang w:val="en-US" w:eastAsia="zh-CN"/>
        </w:rPr>
        <w:t>11.4</w:t>
      </w:r>
    </w:p>
    <w:p>
      <w:pPr>
        <w:pStyle w:val="34"/>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Source: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China Unicom</w:t>
      </w:r>
    </w:p>
    <w:p>
      <w:pPr>
        <w:pStyle w:val="34"/>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Title: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 xml:space="preserve">Further discussion on </w:t>
      </w:r>
      <w:r>
        <w:rPr>
          <w:rFonts w:hint="default" w:ascii="Times New Roman" w:hAnsi="Times New Roman" w:eastAsia="等线" w:cs="Times New Roman"/>
          <w:szCs w:val="22"/>
          <w:lang w:val="en-US" w:eastAsia="zh-CN"/>
        </w:rPr>
        <w:t>R17 leftover issues</w:t>
      </w:r>
    </w:p>
    <w:p>
      <w:pPr>
        <w:pStyle w:val="34"/>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Document for:</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Discussion</w:t>
      </w:r>
    </w:p>
    <w:p>
      <w:pPr>
        <w:pStyle w:val="2"/>
        <w:rPr>
          <w:rFonts w:hint="default" w:ascii="Times New Roman" w:hAnsi="Times New Roman" w:cs="Times New Roman"/>
          <w:sz w:val="40"/>
        </w:rPr>
      </w:pPr>
      <w:r>
        <w:rPr>
          <w:rFonts w:hint="default" w:ascii="Times New Roman" w:hAnsi="Times New Roman" w:cs="Times New Roman"/>
          <w:sz w:val="40"/>
        </w:rPr>
        <w:t>Introduction</w:t>
      </w:r>
    </w:p>
    <w:p>
      <w:pPr>
        <w:pStyle w:val="42"/>
        <w:rPr>
          <w:rFonts w:hint="default" w:ascii="Times New Roman" w:hAnsi="Times New Roman" w:cs="Times New Roman"/>
          <w:sz w:val="21"/>
          <w:szCs w:val="21"/>
          <w:lang w:val="en-GB"/>
        </w:rPr>
      </w:pPr>
      <w:r>
        <w:rPr>
          <w:rStyle w:val="43"/>
          <w:rFonts w:hint="default" w:ascii="Times New Roman" w:hAnsi="Times New Roman" w:eastAsia="宋体" w:cs="Times New Roman"/>
          <w:sz w:val="21"/>
          <w:szCs w:val="21"/>
          <w:lang w:val="en-US" w:eastAsia="zh-CN"/>
        </w:rPr>
        <w:t>In RAN#96</w:t>
      </w:r>
      <w:r>
        <w:rPr>
          <w:rStyle w:val="43"/>
          <w:rFonts w:hint="default" w:ascii="Times New Roman" w:hAnsi="Times New Roman" w:cs="Times New Roman"/>
          <w:sz w:val="21"/>
          <w:szCs w:val="21"/>
          <w:lang w:val="en-GB"/>
        </w:rPr>
        <w:t xml:space="preserve"> meeting, </w:t>
      </w:r>
      <w:r>
        <w:rPr>
          <w:rStyle w:val="43"/>
          <w:rFonts w:hint="default" w:ascii="Times New Roman" w:hAnsi="Times New Roman" w:eastAsia="宋体" w:cs="Times New Roman"/>
          <w:sz w:val="21"/>
          <w:szCs w:val="21"/>
          <w:lang w:val="en-US" w:eastAsia="zh-CN"/>
        </w:rPr>
        <w:t xml:space="preserve">the WID of the R18 NR QoE enhancement </w:t>
      </w:r>
      <w:r>
        <w:rPr>
          <w:rStyle w:val="43"/>
          <w:rFonts w:hint="default" w:ascii="Times New Roman" w:hAnsi="Times New Roman" w:cs="Times New Roman"/>
          <w:sz w:val="21"/>
          <w:szCs w:val="21"/>
          <w:lang w:val="en-GB"/>
        </w:rPr>
        <w:t>have been discussed</w:t>
      </w:r>
      <w:r>
        <w:rPr>
          <w:rStyle w:val="43"/>
          <w:rFonts w:hint="default" w:ascii="Times New Roman" w:hAnsi="Times New Roman" w:eastAsia="宋体" w:cs="Times New Roman"/>
          <w:sz w:val="21"/>
          <w:szCs w:val="21"/>
          <w:lang w:val="en-US" w:eastAsia="zh-CN"/>
        </w:rPr>
        <w:t>, and it is approved to further discuss the  following R17 leftover issues in R18</w:t>
      </w:r>
      <w:r>
        <w:rPr>
          <w:rStyle w:val="43"/>
          <w:rFonts w:hint="default" w:ascii="Times New Roman" w:hAnsi="Times New Roman" w:cs="Times New Roman"/>
          <w:sz w:val="21"/>
          <w:szCs w:val="21"/>
          <w:lang w:val="en-GB"/>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5"/>
              </w:numPr>
              <w:spacing w:before="120" w:beforeLines="50" w:after="0"/>
              <w:jc w:val="both"/>
              <w:rPr>
                <w:rFonts w:hint="default" w:ascii="Times New Roman" w:hAnsi="Times New Roman" w:cs="Times New Roman"/>
                <w:bCs/>
                <w:sz w:val="21"/>
                <w:szCs w:val="21"/>
                <w:lang w:val="en-US" w:eastAsia="zh-CN"/>
              </w:rPr>
            </w:pPr>
            <w:r>
              <w:rPr>
                <w:rFonts w:hint="default" w:ascii="Times New Roman" w:hAnsi="Times New Roman" w:cs="Times New Roman"/>
                <w:sz w:val="21"/>
                <w:szCs w:val="21"/>
                <w:lang w:eastAsia="zh-CN"/>
              </w:rPr>
              <w:t>Left-over features</w:t>
            </w:r>
            <w:r>
              <w:rPr>
                <w:rFonts w:hint="default" w:ascii="Times New Roman" w:hAnsi="Times New Roman" w:cs="Times New Roman"/>
                <w:sz w:val="21"/>
                <w:szCs w:val="21"/>
                <w:lang w:val="en-US" w:eastAsia="zh-CN"/>
              </w:rPr>
              <w:t xml:space="preserve"> from Rel-17, as well as the enhancements of existing features which are not included in Rel-17 normative phase, should be supported in Rel-18 if consensus on benefits are reached </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RAN3</w:t>
            </w:r>
            <w:r>
              <w:rPr>
                <w:rFonts w:hint="default" w:ascii="Times New Roman" w:hAnsi="Times New Roman" w:cs="Times New Roman"/>
                <w:sz w:val="21"/>
                <w:szCs w:val="21"/>
                <w:lang w:eastAsia="zh-CN"/>
              </w:rPr>
              <w:t>, RAN2].</w:t>
            </w:r>
          </w:p>
          <w:p>
            <w:pPr>
              <w:numPr>
                <w:ilvl w:val="0"/>
                <w:numId w:val="6"/>
              </w:numPr>
              <w:spacing w:after="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Specify per-slice QoE measurement configuration enhancement.</w:t>
            </w:r>
          </w:p>
          <w:p>
            <w:pPr>
              <w:numPr>
                <w:ilvl w:val="0"/>
                <w:numId w:val="6"/>
              </w:numPr>
              <w:spacing w:after="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Specify RAN visible QoE enhancements for QoE value, RAN visible QoE trigger event, RAN visible QoE Report over F1.</w:t>
            </w:r>
          </w:p>
          <w:p>
            <w:pPr>
              <w:numPr>
                <w:ilvl w:val="0"/>
                <w:numId w:val="6"/>
              </w:numPr>
              <w:spacing w:after="0"/>
              <w:rPr>
                <w:rFonts w:hint="default" w:ascii="Times New Roman" w:hAnsi="Times New Roman" w:cs="Times New Roman"/>
                <w:color w:val="00B050"/>
                <w:sz w:val="21"/>
                <w:szCs w:val="21"/>
                <w:vertAlign w:val="baseline"/>
                <w:lang w:eastAsia="en-US"/>
              </w:rPr>
            </w:pPr>
            <w:r>
              <w:rPr>
                <w:rFonts w:hint="default" w:ascii="Times New Roman" w:hAnsi="Times New Roman" w:cs="Times New Roman"/>
                <w:bCs/>
                <w:sz w:val="21"/>
                <w:szCs w:val="21"/>
                <w:lang w:val="en-US" w:eastAsia="zh-CN"/>
              </w:rPr>
              <w:t xml:space="preserve">Specify QoE reporting handling enhancement for </w:t>
            </w:r>
            <w:r>
              <w:rPr>
                <w:rFonts w:hint="default" w:ascii="Times New Roman" w:hAnsi="Times New Roman" w:cs="Times New Roman"/>
                <w:bCs/>
                <w:sz w:val="21"/>
                <w:szCs w:val="21"/>
                <w:lang w:val="en-US" w:eastAsia="zh-CN" w:bidi="ar"/>
              </w:rPr>
              <w:t xml:space="preserve">overload </w:t>
            </w:r>
            <w:r>
              <w:rPr>
                <w:rFonts w:hint="default" w:ascii="Times New Roman" w:hAnsi="Times New Roman" w:cs="Times New Roman"/>
                <w:bCs/>
                <w:sz w:val="21"/>
                <w:szCs w:val="21"/>
                <w:lang w:val="en-US" w:eastAsia="zh-CN"/>
              </w:rPr>
              <w:t>scenario</w:t>
            </w:r>
            <w:r>
              <w:rPr>
                <w:rFonts w:hint="default" w:ascii="Times New Roman" w:hAnsi="Times New Roman" w:cs="Times New Roman"/>
                <w:bCs/>
                <w:sz w:val="21"/>
                <w:szCs w:val="21"/>
                <w:lang w:val="en-US" w:eastAsia="zh-CN" w:bidi="ar"/>
              </w:rPr>
              <w:t>.</w:t>
            </w:r>
          </w:p>
        </w:tc>
      </w:tr>
    </w:tbl>
    <w:p>
      <w:pPr>
        <w:rPr>
          <w:rFonts w:hint="default" w:ascii="Times New Roman" w:hAnsi="Times New Roman" w:cs="Times New Roman"/>
          <w:color w:val="00B050"/>
          <w:sz w:val="21"/>
          <w:szCs w:val="21"/>
          <w:lang w:eastAsia="en-US"/>
        </w:rPr>
      </w:pPr>
    </w:p>
    <w:p>
      <w:pPr>
        <w:pStyle w:val="40"/>
        <w:spacing w:before="0" w:after="120"/>
        <w:rPr>
          <w:rStyle w:val="43"/>
          <w:rFonts w:hint="default" w:ascii="Times New Roman" w:hAnsi="Times New Roman" w:cs="Times New Roman"/>
          <w:i w:val="0"/>
          <w:color w:val="auto"/>
          <w:sz w:val="22"/>
          <w:lang w:val="en-GB"/>
        </w:rPr>
      </w:pPr>
      <w:r>
        <w:rPr>
          <w:rStyle w:val="43"/>
          <w:rFonts w:hint="default" w:ascii="Times New Roman" w:hAnsi="Times New Roman" w:cs="Times New Roman"/>
          <w:i w:val="0"/>
          <w:color w:val="auto"/>
          <w:sz w:val="21"/>
          <w:szCs w:val="21"/>
          <w:lang w:val="en-GB"/>
        </w:rPr>
        <w:t xml:space="preserve">This paper discusses </w:t>
      </w:r>
      <w:r>
        <w:rPr>
          <w:rStyle w:val="43"/>
          <w:rFonts w:hint="default" w:ascii="Times New Roman" w:hAnsi="Times New Roman" w:eastAsia="等线" w:cs="Times New Roman"/>
          <w:i w:val="0"/>
          <w:color w:val="auto"/>
          <w:sz w:val="21"/>
          <w:szCs w:val="21"/>
          <w:lang w:val="en-US" w:eastAsia="zh-CN"/>
        </w:rPr>
        <w:t>the leftover issues in R17 which have been approved to be further discussed in R18</w:t>
      </w:r>
      <w:r>
        <w:rPr>
          <w:rStyle w:val="43"/>
          <w:rFonts w:hint="default" w:ascii="Times New Roman" w:hAnsi="Times New Roman" w:cs="Times New Roman"/>
          <w:i w:val="0"/>
          <w:color w:val="auto"/>
          <w:sz w:val="21"/>
          <w:szCs w:val="21"/>
          <w:lang w:val="en-GB"/>
        </w:rPr>
        <w:t>.</w:t>
      </w:r>
    </w:p>
    <w:p>
      <w:pPr>
        <w:pStyle w:val="2"/>
        <w:rPr>
          <w:rFonts w:hint="default" w:ascii="Times New Roman" w:hAnsi="Times New Roman" w:cs="Times New Roman"/>
          <w:sz w:val="40"/>
        </w:rPr>
      </w:pPr>
      <w:r>
        <w:rPr>
          <w:rFonts w:hint="default" w:ascii="Times New Roman" w:hAnsi="Times New Roman" w:cs="Times New Roman"/>
          <w:sz w:val="40"/>
        </w:rPr>
        <w:t>Discussion</w:t>
      </w:r>
    </w:p>
    <w:p>
      <w:pPr>
        <w:pStyle w:val="3"/>
        <w:tabs>
          <w:tab w:val="clear" w:pos="432"/>
        </w:tabs>
        <w:spacing w:after="240"/>
        <w:ind w:left="0" w:firstLine="0"/>
        <w:rPr>
          <w:rFonts w:hint="default" w:ascii="Times New Roman" w:hAnsi="Times New Roman" w:cs="Times New Roman"/>
        </w:rPr>
      </w:pPr>
      <w:r>
        <w:rPr>
          <w:rFonts w:hint="default" w:ascii="Times New Roman" w:hAnsi="Times New Roman" w:cs="Times New Roman"/>
        </w:rPr>
        <w:t>Per-slice QoE measurement enhancement</w:t>
      </w:r>
    </w:p>
    <w:p>
      <w:pPr>
        <w:rPr>
          <w:rFonts w:hint="default" w:ascii="Times New Roman" w:hAnsi="Times New Roman" w:cs="Times New Roman"/>
          <w:sz w:val="21"/>
          <w:szCs w:val="21"/>
        </w:rPr>
      </w:pPr>
      <w:r>
        <w:rPr>
          <w:rFonts w:hint="default" w:ascii="Times New Roman" w:hAnsi="Times New Roman" w:cs="Times New Roman"/>
          <w:sz w:val="21"/>
          <w:szCs w:val="21"/>
        </w:rPr>
        <w:t>In current specifications of SA4 and RAN2, per-slice QoE configuration can not 100% fulfil all the requirements of R17 NR QoE SI. In TR38.890, it is described: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shd w:val="clear" w:color="auto" w:fill="auto"/>
            <w:noWrap w:val="0"/>
            <w:vAlign w:val="top"/>
          </w:tcPr>
          <w:p>
            <w:pPr>
              <w:spacing w:after="120"/>
              <w:jc w:val="center"/>
              <w:rPr>
                <w:rFonts w:hint="default" w:ascii="Times New Roman" w:hAnsi="Times New Roman" w:eastAsia="等线" w:cs="Times New Roman"/>
                <w:sz w:val="21"/>
                <w:szCs w:val="21"/>
                <w:lang w:val="en-US" w:eastAsia="zh-CN"/>
              </w:rPr>
            </w:pPr>
            <w:r>
              <w:rPr>
                <w:rFonts w:hint="default" w:ascii="Times New Roman" w:hAnsi="Times New Roman" w:cs="Times New Roman"/>
                <w:sz w:val="21"/>
                <w:szCs w:val="21"/>
                <w:lang w:val="en-US" w:eastAsia="zh-CN"/>
              </w:rPr>
              <w:drawing>
                <wp:inline distT="0" distB="0" distL="114300" distR="114300">
                  <wp:extent cx="3867150" cy="15227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867150" cy="1522730"/>
                          </a:xfrm>
                          <a:prstGeom prst="rect">
                            <a:avLst/>
                          </a:prstGeom>
                          <a:noFill/>
                          <a:ln>
                            <a:noFill/>
                          </a:ln>
                        </pic:spPr>
                      </pic:pic>
                    </a:graphicData>
                  </a:graphic>
                </wp:inline>
              </w:drawing>
            </w:r>
          </w:p>
          <w:p>
            <w:pPr>
              <w:pStyle w:val="66"/>
              <w:rPr>
                <w:rFonts w:hint="default" w:ascii="Times New Roman" w:hAnsi="Times New Roman" w:cs="Times New Roman"/>
                <w:sz w:val="21"/>
                <w:szCs w:val="21"/>
              </w:rPr>
            </w:pPr>
            <w:bookmarkStart w:id="0" w:name="_Hlk49434829"/>
            <w:r>
              <w:rPr>
                <w:rFonts w:hint="default" w:ascii="Times New Roman" w:hAnsi="Times New Roman" w:cs="Times New Roman"/>
                <w:sz w:val="21"/>
                <w:szCs w:val="21"/>
              </w:rPr>
              <w:t>Figure 6.</w:t>
            </w:r>
            <w:r>
              <w:rPr>
                <w:rFonts w:hint="default" w:ascii="Times New Roman" w:hAnsi="Times New Roman" w:cs="Times New Roman"/>
                <w:sz w:val="21"/>
                <w:szCs w:val="21"/>
                <w:lang w:eastAsia="zh-CN"/>
              </w:rPr>
              <w:t>9</w:t>
            </w:r>
            <w:r>
              <w:rPr>
                <w:rFonts w:hint="default" w:ascii="Times New Roman" w:hAnsi="Times New Roman" w:cs="Times New Roman"/>
                <w:sz w:val="21"/>
                <w:szCs w:val="21"/>
              </w:rPr>
              <w:t>.1-1: An example of the same service type served by different slices</w:t>
            </w:r>
          </w:p>
          <w:bookmarkEnd w:id="0"/>
          <w:p>
            <w:pPr>
              <w:widowControl w:val="0"/>
              <w:spacing w:after="160" w:line="259" w:lineRule="auto"/>
              <w:jc w:val="both"/>
              <w:rPr>
                <w:rFonts w:hint="default" w:ascii="Times New Roman" w:hAnsi="Times New Roman" w:eastAsia="宋体" w:cs="Times New Roman"/>
                <w:sz w:val="21"/>
                <w:szCs w:val="21"/>
                <w:lang w:val="en-US" w:eastAsia="zh-CN"/>
              </w:rPr>
            </w:pPr>
            <w:r>
              <w:rPr>
                <w:rFonts w:hint="default" w:ascii="Times New Roman" w:hAnsi="Times New Roman" w:cs="Times New Roman"/>
                <w:kern w:val="2"/>
                <w:sz w:val="21"/>
                <w:szCs w:val="21"/>
                <w:lang w:val="en-US" w:eastAsia="zh-CN"/>
              </w:rPr>
              <w:t>F</w:t>
            </w:r>
            <w:r>
              <w:rPr>
                <w:rFonts w:hint="default" w:ascii="Times New Roman" w:hAnsi="Times New Roman" w:eastAsia="MS Mincho" w:cs="Times New Roman"/>
                <w:kern w:val="2"/>
                <w:sz w:val="21"/>
                <w:szCs w:val="21"/>
                <w:lang w:val="en-US" w:eastAsia="zh-CN"/>
              </w:rPr>
              <w:t>igure 6.</w:t>
            </w:r>
            <w:r>
              <w:rPr>
                <w:rFonts w:hint="default" w:ascii="Times New Roman" w:hAnsi="Times New Roman" w:eastAsia="宋体" w:cs="Times New Roman"/>
                <w:kern w:val="2"/>
                <w:sz w:val="21"/>
                <w:szCs w:val="21"/>
                <w:lang w:val="en-US" w:eastAsia="zh-CN"/>
              </w:rPr>
              <w:t>9</w:t>
            </w:r>
            <w:r>
              <w:rPr>
                <w:rFonts w:hint="default" w:ascii="Times New Roman" w:hAnsi="Times New Roman" w:eastAsia="MS Mincho" w:cs="Times New Roman"/>
                <w:kern w:val="2"/>
                <w:sz w:val="21"/>
                <w:szCs w:val="21"/>
                <w:lang w:val="en-US" w:eastAsia="zh-CN"/>
              </w:rPr>
              <w:t>.1-1</w:t>
            </w:r>
            <w:r>
              <w:rPr>
                <w:rFonts w:hint="default" w:ascii="Times New Roman" w:hAnsi="Times New Roman" w:cs="Times New Roman"/>
                <w:kern w:val="2"/>
                <w:sz w:val="21"/>
                <w:szCs w:val="21"/>
                <w:lang w:val="en-US" w:eastAsia="zh-CN"/>
              </w:rPr>
              <w:t xml:space="preserve"> is an example of the same service type served by different slices. As shown in the figure, </w:t>
            </w:r>
            <w:r>
              <w:rPr>
                <w:rFonts w:hint="default" w:ascii="Times New Roman" w:hAnsi="Times New Roman" w:eastAsia="MS Mincho" w:cs="Times New Roman"/>
                <w:kern w:val="2"/>
                <w:sz w:val="21"/>
                <w:szCs w:val="21"/>
                <w:lang w:val="en-US" w:eastAsia="zh-CN"/>
              </w:rPr>
              <w:t xml:space="preserve">UE1 is </w:t>
            </w:r>
            <w:r>
              <w:rPr>
                <w:rFonts w:hint="default" w:ascii="Times New Roman" w:hAnsi="Times New Roman" w:eastAsia="MS Mincho" w:cs="Times New Roman"/>
                <w:sz w:val="21"/>
                <w:szCs w:val="21"/>
                <w:lang w:val="en-US" w:eastAsia="zh-CN"/>
              </w:rPr>
              <w:t>served by</w:t>
            </w:r>
            <w:r>
              <w:rPr>
                <w:rFonts w:hint="default" w:ascii="Times New Roman" w:hAnsi="Times New Roman" w:cs="Times New Roman"/>
                <w:sz w:val="21"/>
                <w:szCs w:val="21"/>
                <w:lang w:val="en-US" w:eastAsia="zh-CN"/>
              </w:rPr>
              <w:t xml:space="preserve"> </w:t>
            </w:r>
            <w:r>
              <w:rPr>
                <w:rFonts w:hint="default" w:ascii="Times New Roman" w:hAnsi="Times New Roman" w:eastAsia="MS Mincho" w:cs="Times New Roman"/>
                <w:sz w:val="21"/>
                <w:szCs w:val="21"/>
                <w:lang w:val="en-US" w:eastAsia="zh-CN"/>
              </w:rPr>
              <w:t>Slice #1</w:t>
            </w:r>
            <w:r>
              <w:rPr>
                <w:rFonts w:hint="default" w:ascii="Times New Roman" w:hAnsi="Times New Roman" w:cs="Times New Roman"/>
                <w:sz w:val="21"/>
                <w:szCs w:val="21"/>
                <w:lang w:val="en-US" w:eastAsia="zh-CN"/>
              </w:rPr>
              <w:t xml:space="preserve"> and </w:t>
            </w:r>
            <w:r>
              <w:rPr>
                <w:rFonts w:hint="default" w:ascii="Times New Roman" w:hAnsi="Times New Roman" w:eastAsia="MS Mincho" w:cs="Times New Roman"/>
                <w:kern w:val="2"/>
                <w:sz w:val="21"/>
                <w:szCs w:val="21"/>
                <w:lang w:val="en-US" w:eastAsia="zh-CN"/>
              </w:rPr>
              <w:t xml:space="preserve">UE 2 is </w:t>
            </w:r>
            <w:r>
              <w:rPr>
                <w:rFonts w:hint="default" w:ascii="Times New Roman" w:hAnsi="Times New Roman" w:eastAsia="MS Mincho" w:cs="Times New Roman"/>
                <w:sz w:val="21"/>
                <w:szCs w:val="21"/>
                <w:lang w:val="en-US" w:eastAsia="zh-CN"/>
              </w:rPr>
              <w:t xml:space="preserve">served by Slice #2. If the Service Level Agreement (SLA) of Slice #1 and Slice #2 </w:t>
            </w:r>
            <w:r>
              <w:rPr>
                <w:rFonts w:hint="default" w:ascii="Times New Roman" w:hAnsi="Times New Roman" w:cs="Times New Roman"/>
                <w:sz w:val="21"/>
                <w:szCs w:val="21"/>
                <w:lang w:val="en-US" w:eastAsia="zh-CN"/>
              </w:rPr>
              <w:t>are</w:t>
            </w:r>
            <w:r>
              <w:rPr>
                <w:rFonts w:hint="default" w:ascii="Times New Roman" w:hAnsi="Times New Roman" w:eastAsia="MS Mincho" w:cs="Times New Roman"/>
                <w:sz w:val="21"/>
                <w:szCs w:val="21"/>
                <w:lang w:val="en-US" w:eastAsia="zh-CN"/>
              </w:rPr>
              <w:t xml:space="preserve"> different, QoE of UE1 and UE2 </w:t>
            </w:r>
            <w:r>
              <w:rPr>
                <w:rFonts w:hint="default" w:ascii="Times New Roman" w:hAnsi="Times New Roman" w:eastAsia="宋体" w:cs="Times New Roman"/>
                <w:sz w:val="21"/>
                <w:szCs w:val="21"/>
                <w:lang w:val="en-US" w:eastAsia="zh-CN"/>
              </w:rPr>
              <w:t>may</w:t>
            </w:r>
            <w:r>
              <w:rPr>
                <w:rFonts w:hint="default" w:ascii="Times New Roman" w:hAnsi="Times New Roman" w:eastAsia="MS Mincho" w:cs="Times New Roman"/>
                <w:sz w:val="21"/>
                <w:szCs w:val="21"/>
                <w:lang w:val="en-US" w:eastAsia="zh-CN"/>
              </w:rPr>
              <w:t xml:space="preserve"> be different for the same service type.</w:t>
            </w:r>
          </w:p>
          <w:p>
            <w:pPr>
              <w:widowControl w:val="0"/>
              <w:spacing w:after="160" w:line="259" w:lineRule="auto"/>
              <w:jc w:val="both"/>
              <w:rPr>
                <w:rFonts w:hint="default" w:ascii="Times New Roman" w:hAnsi="Times New Roman" w:eastAsia="宋体" w:cs="Times New Roman"/>
                <w:kern w:val="2"/>
                <w:sz w:val="21"/>
                <w:szCs w:val="21"/>
                <w:lang w:val="en-US" w:eastAsia="zh-CN"/>
              </w:rPr>
            </w:pPr>
            <w:r>
              <w:rPr>
                <w:rFonts w:hint="default" w:ascii="Times New Roman" w:hAnsi="Times New Roman" w:eastAsia="MS Mincho" w:cs="Times New Roman"/>
                <w:kern w:val="2"/>
                <w:sz w:val="21"/>
                <w:szCs w:val="21"/>
                <w:lang w:val="en-US"/>
              </w:rPr>
              <w:t xml:space="preserve">Below are scenarios (included, but not limited) identified for per slice QoE measurement collection for further analysis in normative </w:t>
            </w:r>
            <w:r>
              <w:rPr>
                <w:rFonts w:hint="default" w:ascii="Times New Roman" w:hAnsi="Times New Roman" w:eastAsia="宋体" w:cs="Times New Roman"/>
                <w:kern w:val="2"/>
                <w:sz w:val="21"/>
                <w:szCs w:val="21"/>
                <w:lang w:val="en-US" w:eastAsia="zh-CN"/>
              </w:rPr>
              <w:t>phase</w:t>
            </w:r>
            <w:r>
              <w:rPr>
                <w:rFonts w:hint="default" w:ascii="Times New Roman" w:hAnsi="Times New Roman" w:eastAsia="MS Mincho" w:cs="Times New Roman"/>
                <w:kern w:val="2"/>
                <w:sz w:val="21"/>
                <w:szCs w:val="21"/>
                <w:lang w:val="en-US"/>
              </w:rPr>
              <w:t>:</w:t>
            </w:r>
          </w:p>
          <w:p>
            <w:pPr>
              <w:widowControl w:val="0"/>
              <w:spacing w:before="60"/>
              <w:jc w:val="center"/>
              <w:rPr>
                <w:rFonts w:hint="default" w:ascii="Times New Roman" w:hAnsi="Times New Roman" w:cs="Times New Roman"/>
                <w:b/>
                <w:sz w:val="21"/>
                <w:szCs w:val="21"/>
              </w:rPr>
            </w:pPr>
            <w:r>
              <w:rPr>
                <w:rFonts w:hint="default" w:ascii="Times New Roman" w:hAnsi="Times New Roman" w:cs="Times New Roman"/>
                <w:b/>
                <w:sz w:val="21"/>
                <w:szCs w:val="21"/>
              </w:rPr>
              <w:t>Table 6.9.1-1: Per-slice QoE measurement scenarios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3984"/>
              <w:gridCol w:w="2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823" w:type="dxa"/>
                  <w:tcBorders>
                    <w:top w:val="single" w:color="auto" w:sz="4" w:space="0"/>
                    <w:left w:val="single" w:color="auto" w:sz="4" w:space="0"/>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Scenario 1</w:t>
                  </w:r>
                </w:p>
              </w:tc>
              <w:tc>
                <w:tcPr>
                  <w:tcW w:w="3984" w:type="dxa"/>
                  <w:tcBorders>
                    <w:top w:val="single" w:color="auto" w:sz="4" w:space="0"/>
                    <w:left w:val="nil"/>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Different service types uses different slices</w:t>
                  </w:r>
                </w:p>
              </w:tc>
              <w:tc>
                <w:tcPr>
                  <w:tcW w:w="2990" w:type="dxa"/>
                  <w:tcBorders>
                    <w:top w:val="single" w:color="auto" w:sz="4" w:space="0"/>
                    <w:left w:val="nil"/>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service type 1 –slice 1</w:t>
                  </w:r>
                </w:p>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service type 2 –slice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823" w:type="dxa"/>
                  <w:tcBorders>
                    <w:top w:val="single" w:color="auto" w:sz="4" w:space="0"/>
                    <w:left w:val="single" w:color="auto" w:sz="4" w:space="0"/>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Scenario 2</w:t>
                  </w:r>
                </w:p>
              </w:tc>
              <w:tc>
                <w:tcPr>
                  <w:tcW w:w="3984" w:type="dxa"/>
                  <w:tcBorders>
                    <w:top w:val="single" w:color="auto" w:sz="4" w:space="0"/>
                    <w:left w:val="nil"/>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Different service types uses the same slice</w:t>
                  </w:r>
                </w:p>
              </w:tc>
              <w:tc>
                <w:tcPr>
                  <w:tcW w:w="2990" w:type="dxa"/>
                  <w:tcBorders>
                    <w:top w:val="single" w:color="auto" w:sz="4" w:space="0"/>
                    <w:left w:val="nil"/>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service type 1 –slice 1</w:t>
                  </w:r>
                </w:p>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service type 2 –slice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823" w:type="dxa"/>
                  <w:tcBorders>
                    <w:top w:val="single" w:color="auto" w:sz="4" w:space="0"/>
                    <w:left w:val="single" w:color="auto" w:sz="4" w:space="0"/>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Scenario 3</w:t>
                  </w:r>
                </w:p>
              </w:tc>
              <w:tc>
                <w:tcPr>
                  <w:tcW w:w="3984" w:type="dxa"/>
                  <w:tcBorders>
                    <w:top w:val="single" w:color="auto" w:sz="4" w:space="0"/>
                    <w:left w:val="nil"/>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The same service type using different slice</w:t>
                  </w:r>
                </w:p>
              </w:tc>
              <w:tc>
                <w:tcPr>
                  <w:tcW w:w="2990" w:type="dxa"/>
                  <w:tcBorders>
                    <w:top w:val="single" w:color="auto" w:sz="4" w:space="0"/>
                    <w:left w:val="nil"/>
                    <w:bottom w:val="single" w:color="auto" w:sz="4" w:space="0"/>
                    <w:right w:val="single" w:color="auto" w:sz="4" w:space="0"/>
                  </w:tcBorders>
                  <w:noWrap w:val="0"/>
                  <w:vAlign w:val="center"/>
                </w:tcPr>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service type 1 –slice 1</w:t>
                  </w:r>
                </w:p>
                <w:p>
                  <w:pPr>
                    <w:pStyle w:val="75"/>
                    <w:spacing w:before="120" w:beforeAutospacing="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service type 1 –slice 2</w:t>
                  </w:r>
                </w:p>
              </w:tc>
            </w:tr>
          </w:tbl>
          <w:p>
            <w:pPr>
              <w:rPr>
                <w:rFonts w:hint="default" w:ascii="Times New Roman" w:hAnsi="Times New Roman" w:cs="Times New Roman"/>
                <w:sz w:val="21"/>
                <w:szCs w:val="21"/>
              </w:rPr>
            </w:pPr>
          </w:p>
        </w:tc>
      </w:tr>
    </w:tbl>
    <w:p>
      <w:pPr>
        <w:rPr>
          <w:rFonts w:hint="default" w:ascii="Times New Roman" w:hAnsi="Times New Roman" w:cs="Times New Roman"/>
          <w:sz w:val="21"/>
          <w:szCs w:val="21"/>
        </w:rPr>
      </w:pPr>
    </w:p>
    <w:p>
      <w:pPr>
        <w:rPr>
          <w:rFonts w:hint="default" w:ascii="Times New Roman" w:hAnsi="Times New Roman" w:cs="Times New Roman"/>
          <w:sz w:val="21"/>
          <w:szCs w:val="21"/>
        </w:rPr>
      </w:pPr>
      <w:r>
        <w:rPr>
          <w:rFonts w:hint="default" w:ascii="Times New Roman" w:hAnsi="Times New Roman" w:cs="Times New Roman"/>
          <w:sz w:val="21"/>
          <w:szCs w:val="21"/>
        </w:rPr>
        <w:t>In R17 the slice scope check is only on the gNB, if one UE only have one service type and one slice, the check by the gNB is enough, but if one UE have multiple slices, since the gNB can’t get the relationship of the service type and slice, if the application layer will not check the slice information, the QoE measurement(s) maybe wrongly started.</w:t>
      </w:r>
    </w:p>
    <w:p>
      <w:pPr>
        <w:rPr>
          <w:rFonts w:hint="default" w:ascii="Times New Roman" w:hAnsi="Times New Roman" w:cs="Times New Roman"/>
          <w:sz w:val="21"/>
          <w:szCs w:val="21"/>
        </w:rPr>
      </w:pPr>
      <w:r>
        <w:rPr>
          <w:rFonts w:hint="default" w:ascii="Times New Roman" w:hAnsi="Times New Roman" w:cs="Times New Roman"/>
          <w:sz w:val="21"/>
          <w:szCs w:val="21"/>
        </w:rPr>
        <w:t xml:space="preserve">For example, if QoE configuration is for application of service type 1 slice2: </w:t>
      </w:r>
    </w:p>
    <w:p>
      <w:pPr>
        <w:rPr>
          <w:rFonts w:hint="default" w:ascii="Times New Roman" w:hAnsi="Times New Roman" w:cs="Times New Roman"/>
          <w:sz w:val="21"/>
          <w:szCs w:val="21"/>
        </w:rPr>
      </w:pPr>
      <w:r>
        <w:rPr>
          <w:rFonts w:hint="default" w:ascii="Times New Roman" w:hAnsi="Times New Roman" w:cs="Times New Roman"/>
          <w:sz w:val="21"/>
          <w:szCs w:val="21"/>
        </w:rPr>
        <w:t>1. In scenario 1, it is no need to start the QoE measurements, but if the application layer only check the service type, but not check the slice scope, the “service type1-slice 1” application will wrongly starts QoE measurement.</w:t>
      </w:r>
    </w:p>
    <w:p>
      <w:pPr>
        <w:rPr>
          <w:rFonts w:hint="default" w:ascii="Times New Roman" w:hAnsi="Times New Roman" w:cs="Times New Roman"/>
          <w:sz w:val="21"/>
          <w:szCs w:val="21"/>
        </w:rPr>
      </w:pPr>
      <w:r>
        <w:rPr>
          <w:rFonts w:hint="default" w:ascii="Times New Roman" w:hAnsi="Times New Roman" w:cs="Times New Roman"/>
          <w:sz w:val="21"/>
          <w:szCs w:val="21"/>
        </w:rPr>
        <w:t>2. In scenario 3, only “service type 1 – slice2” application need to start QoE measurement, but if application layer only check the service type, but not check the slice scope, both of the application will starts the QoE measurement.</w:t>
      </w:r>
    </w:p>
    <w:p>
      <w:pPr>
        <w:rPr>
          <w:rFonts w:hint="default" w:ascii="Times New Roman" w:hAnsi="Times New Roman" w:cs="Times New Roman"/>
          <w:sz w:val="21"/>
          <w:szCs w:val="21"/>
        </w:rPr>
      </w:pPr>
      <w:r>
        <w:rPr>
          <w:rFonts w:hint="default" w:ascii="Times New Roman" w:hAnsi="Times New Roman" w:cs="Times New Roman"/>
          <w:sz w:val="21"/>
          <w:szCs w:val="21"/>
        </w:rPr>
        <w:t>And there are also other scenarios, such as multiple QoE configuration for service type 1 slice2 and service type2 slice1, etc. Anyway, the application layer need to get the slice information for QoE configuration. But now the slice scope information is included in neither RAN2 nor SA4 current specifications, then the UE application layer will only check the service type to start the QoE measurement, it will cause unnecessary measurements for UE, and it will cause unnecessary load for air interface when reporting the QoE report.</w:t>
      </w:r>
    </w:p>
    <w:p>
      <w:pPr>
        <w:rPr>
          <w:rFonts w:hint="default" w:ascii="Times New Roman" w:hAnsi="Times New Roman" w:cs="Times New Roman"/>
          <w:sz w:val="21"/>
          <w:szCs w:val="21"/>
        </w:rPr>
      </w:pPr>
      <w:r>
        <w:rPr>
          <w:rFonts w:hint="default" w:ascii="Times New Roman" w:hAnsi="Times New Roman" w:cs="Times New Roman"/>
          <w:sz w:val="21"/>
          <w:szCs w:val="21"/>
        </w:rPr>
        <w:t>The slice information should be transmitted to UE application layer either in QoE configuration container which is defined by SA4, or outside the container which is defined by RAN2. Since slice scope information is finally checked by UE application layer, it is better to include the slice information in QoE configuration container.</w:t>
      </w:r>
    </w:p>
    <w:p>
      <w:pPr>
        <w:jc w:val="both"/>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eastAsia="zh-CN"/>
        </w:rPr>
        <w:t xml:space="preserve">Proposal 1: Per-slice QoE measurement </w:t>
      </w:r>
      <w:r>
        <w:rPr>
          <w:rFonts w:hint="default" w:ascii="Times New Roman" w:hAnsi="Times New Roman" w:eastAsia="宋体" w:cs="Times New Roman"/>
          <w:b/>
          <w:sz w:val="21"/>
          <w:szCs w:val="21"/>
          <w:lang w:val="en-US" w:eastAsia="zh-CN"/>
        </w:rPr>
        <w:t>information</w:t>
      </w:r>
      <w:r>
        <w:rPr>
          <w:rFonts w:hint="default" w:ascii="Times New Roman" w:hAnsi="Times New Roman" w:eastAsia="宋体" w:cs="Times New Roman"/>
          <w:b/>
          <w:sz w:val="21"/>
          <w:szCs w:val="21"/>
          <w:lang w:eastAsia="zh-CN"/>
        </w:rPr>
        <w:t xml:space="preserve"> should be included </w:t>
      </w:r>
      <w:r>
        <w:rPr>
          <w:rFonts w:hint="default" w:ascii="Times New Roman" w:hAnsi="Times New Roman" w:eastAsia="宋体" w:cs="Times New Roman"/>
          <w:b/>
          <w:sz w:val="21"/>
          <w:szCs w:val="21"/>
          <w:lang w:val="en-US" w:eastAsia="zh-CN"/>
        </w:rPr>
        <w:t>in QoE configuration container, LS to SA4 is needed</w:t>
      </w:r>
      <w:r>
        <w:rPr>
          <w:rFonts w:hint="default" w:ascii="Times New Roman" w:hAnsi="Times New Roman" w:eastAsia="宋体" w:cs="Times New Roman"/>
          <w:b/>
          <w:sz w:val="21"/>
          <w:szCs w:val="21"/>
          <w:lang w:eastAsia="zh-CN"/>
        </w:rPr>
        <w:t>.</w:t>
      </w:r>
    </w:p>
    <w:p>
      <w:pPr>
        <w:rPr>
          <w:rFonts w:hint="default" w:ascii="Times New Roman" w:hAnsi="Times New Roman" w:eastAsia="等线" w:cs="Times New Roman"/>
          <w:b/>
          <w:sz w:val="21"/>
          <w:szCs w:val="21"/>
        </w:rPr>
      </w:pPr>
    </w:p>
    <w:p>
      <w:pPr>
        <w:pStyle w:val="3"/>
        <w:tabs>
          <w:tab w:val="clear" w:pos="432"/>
        </w:tabs>
        <w:spacing w:after="240"/>
        <w:ind w:left="0" w:firstLine="0"/>
        <w:rPr>
          <w:rFonts w:hint="default" w:ascii="Times New Roman" w:hAnsi="Times New Roman" w:cs="Times New Roman"/>
          <w:sz w:val="32"/>
          <w:szCs w:val="32"/>
        </w:rPr>
      </w:pPr>
      <w:r>
        <w:rPr>
          <w:rFonts w:hint="default" w:ascii="Times New Roman" w:hAnsi="Times New Roman" w:cs="Times New Roman"/>
          <w:sz w:val="32"/>
          <w:szCs w:val="32"/>
        </w:rPr>
        <w:t>QoE reporting handling enhancement for overload</w:t>
      </w:r>
    </w:p>
    <w:p>
      <w:pPr>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In Rel-17, the RAN overload mechanism for encapsulated QoE are defined, but high priority service should be guaranteed even when RAN overload occurs. In Rel-17, the mechanism of pausing QoE reporting is performed according to the decision of gNB. As the QoE measurement configuration is initiated by OAM, gNB can transfer the QoE reporting according to service priority.</w:t>
      </w:r>
      <w:r>
        <w:rPr>
          <w:rFonts w:hint="eastAsia" w:ascii="Times New Roman" w:hAnsi="Times New Roman" w:eastAsia="宋体" w:cs="Times New Roman"/>
          <w:sz w:val="21"/>
          <w:szCs w:val="21"/>
          <w:lang w:val="en-US" w:eastAsia="zh-CN"/>
        </w:rPr>
        <w:t xml:space="preserve"> </w:t>
      </w:r>
    </w:p>
    <w:p>
      <w:p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The OAM can set the QoE reporting priority according to the user priority, slice priority or service priority, gNB can pause the QoE reporting according to the priority set by OAM, if there is no priority set by OAM, gNB can only pause the QoE reporting according to it</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 xml:space="preserve">s own algorithm, some QoE reporting which should be guaranteed as much as possible may be paused first, and the OAM will get the QoE reporting late or QoE reporting may lost due to the UE buffer is overload. </w:t>
      </w:r>
    </w:p>
    <w:p>
      <w:p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Besides, the gNB will not need to consider whether QoE reporting is m-based or s-based, and gNB will not need to consider the service type or QoS flow priority when RAN overload, it can only use the QoE reporting priority set by OAM, and only evaluate one or more QoE reporting are need to be paused. </w:t>
      </w:r>
    </w:p>
    <w:p>
      <w:p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Since the priority set by OAM will only used by gNB to decide which QoE reporting need to be paused when RAN overload, it is no need to send the priority information to UE.</w:t>
      </w:r>
    </w:p>
    <w:p>
      <w:pPr>
        <w:jc w:val="both"/>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2</w:t>
      </w:r>
      <w:r>
        <w:rPr>
          <w:rFonts w:hint="default" w:ascii="Times New Roman" w:hAnsi="Times New Roman" w:eastAsia="宋体" w:cs="Times New Roman"/>
          <w:b/>
          <w:sz w:val="21"/>
          <w:szCs w:val="21"/>
          <w:lang w:eastAsia="zh-CN"/>
        </w:rPr>
        <w:t xml:space="preserve">: </w:t>
      </w:r>
      <w:r>
        <w:rPr>
          <w:rFonts w:hint="eastAsia" w:ascii="Times New Roman" w:hAnsi="Times New Roman" w:eastAsia="宋体" w:cs="Times New Roman"/>
          <w:b/>
          <w:sz w:val="21"/>
          <w:szCs w:val="21"/>
          <w:lang w:val="en-US" w:eastAsia="zh-CN"/>
        </w:rPr>
        <w:t>QoE reporting priority should be included in the QoE configuration, and no need to send to UE</w:t>
      </w:r>
      <w:r>
        <w:rPr>
          <w:rFonts w:hint="default" w:ascii="Times New Roman" w:hAnsi="Times New Roman" w:eastAsia="宋体" w:cs="Times New Roman"/>
          <w:b/>
          <w:sz w:val="21"/>
          <w:szCs w:val="21"/>
          <w:lang w:eastAsia="zh-CN"/>
        </w:rPr>
        <w:t>.</w:t>
      </w:r>
      <w:r>
        <w:rPr>
          <w:rFonts w:hint="eastAsia" w:ascii="Times New Roman" w:hAnsi="Times New Roman" w:eastAsia="宋体" w:cs="Times New Roman"/>
          <w:b/>
          <w:sz w:val="21"/>
          <w:szCs w:val="21"/>
          <w:lang w:val="en-US" w:eastAsia="zh-CN"/>
        </w:rPr>
        <w:t xml:space="preserve"> LS to SA5 is needed.</w:t>
      </w:r>
    </w:p>
    <w:p>
      <w:pPr>
        <w:rPr>
          <w:rFonts w:hint="default" w:ascii="Times New Roman" w:hAnsi="Times New Roman" w:eastAsia="宋体" w:cs="Times New Roman"/>
          <w:sz w:val="21"/>
          <w:szCs w:val="21"/>
          <w:lang w:val="en-US" w:eastAsia="zh-CN"/>
        </w:rPr>
      </w:pPr>
    </w:p>
    <w:p>
      <w:pPr>
        <w:rPr>
          <w:rFonts w:hint="default" w:ascii="Times New Roman" w:hAnsi="Times New Roman" w:cs="Times New Roman"/>
        </w:rPr>
      </w:pPr>
    </w:p>
    <w:p>
      <w:pPr>
        <w:pStyle w:val="3"/>
        <w:tabs>
          <w:tab w:val="clear" w:pos="432"/>
        </w:tabs>
        <w:spacing w:after="240"/>
        <w:ind w:left="0" w:firstLine="0"/>
        <w:rPr>
          <w:rFonts w:hint="default" w:ascii="Times New Roman" w:hAnsi="Times New Roman" w:cs="Times New Roman"/>
          <w:sz w:val="32"/>
          <w:szCs w:val="32"/>
        </w:rPr>
      </w:pPr>
      <w:r>
        <w:rPr>
          <w:rFonts w:hint="default" w:ascii="Times New Roman" w:hAnsi="Times New Roman" w:cs="Times New Roman"/>
          <w:sz w:val="32"/>
          <w:szCs w:val="32"/>
        </w:rPr>
        <w:t>RAN visible QoE for QoE value</w:t>
      </w:r>
    </w:p>
    <w:p>
      <w:pP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I</w:t>
      </w:r>
      <w:r>
        <w:rPr>
          <w:rFonts w:hint="default" w:ascii="Times New Roman" w:hAnsi="Times New Roman" w:cs="Times New Roman"/>
          <w:sz w:val="21"/>
          <w:szCs w:val="21"/>
          <w:lang w:eastAsia="zh-CN"/>
        </w:rPr>
        <w:t>n Rel-17, RAN3 had discussed RAN visible QoE value definition. It has the following agreement:</w:t>
      </w:r>
    </w:p>
    <w:p>
      <w:pPr>
        <w:rPr>
          <w:rFonts w:hint="default" w:ascii="Times New Roman" w:hAnsi="Times New Roman" w:cs="Times New Roman"/>
          <w:b/>
          <w:bCs/>
          <w:i/>
          <w:iCs/>
          <w:sz w:val="21"/>
          <w:szCs w:val="21"/>
          <w:lang w:eastAsia="zh-CN"/>
        </w:rPr>
      </w:pPr>
      <w:r>
        <w:rPr>
          <w:rFonts w:hint="eastAsia" w:ascii="Times New Roman" w:hAnsi="Times New Roman" w:cs="Times New Roman"/>
          <w:b/>
          <w:bCs/>
          <w:i/>
          <w:iCs/>
          <w:sz w:val="21"/>
          <w:szCs w:val="21"/>
          <w:lang w:val="en-US" w:eastAsia="zh-CN"/>
        </w:rPr>
        <w:t xml:space="preserve">- </w:t>
      </w:r>
      <w:r>
        <w:rPr>
          <w:rFonts w:hint="default" w:ascii="Times New Roman" w:hAnsi="Times New Roman" w:cs="Times New Roman"/>
          <w:b/>
          <w:bCs/>
          <w:i/>
          <w:iCs/>
          <w:sz w:val="21"/>
          <w:szCs w:val="21"/>
        </w:rPr>
        <w:t>No further discussion on RAN visible QoE value in R17, while whether it can be generated by UE application layer can be further discussed in future release</w:t>
      </w:r>
      <w:r>
        <w:rPr>
          <w:rFonts w:hint="eastAsia" w:ascii="Times New Roman" w:hAnsi="Times New Roman" w:cs="Times New Roman"/>
          <w:b/>
          <w:bCs/>
          <w:i/>
          <w:iCs/>
          <w:sz w:val="21"/>
          <w:szCs w:val="21"/>
          <w:lang w:val="en-US" w:eastAsia="zh-CN"/>
        </w:rPr>
        <w:t>.</w:t>
      </w:r>
    </w:p>
    <w:p>
      <w:pPr>
        <w:rPr>
          <w:rFonts w:hint="default" w:ascii="Times New Roman" w:hAnsi="Times New Roman" w:cs="Times New Roman"/>
          <w:sz w:val="21"/>
          <w:szCs w:val="21"/>
          <w:lang w:eastAsia="zh-CN"/>
        </w:rPr>
      </w:pPr>
    </w:p>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In the TR38.890, RAN-visible QoE includes RAN-visible QoE metrics and RAN-visible QoE values, and RAN-visible QoE values is defined as “a set of values derived from QoE metrics data through a model/function defined in collaboration with SA4”. RAN3 discussed the RAN visible QoE values and did not reach conclusions. According to the </w:t>
      </w:r>
      <w:r>
        <w:rPr>
          <w:rFonts w:hint="eastAsia" w:ascii="Times New Roman" w:hAnsi="Times New Roman" w:cs="Times New Roman"/>
          <w:sz w:val="21"/>
          <w:szCs w:val="21"/>
          <w:lang w:val="en-US" w:eastAsia="zh-CN"/>
        </w:rPr>
        <w:t xml:space="preserve">e-mail </w:t>
      </w:r>
      <w:r>
        <w:rPr>
          <w:rFonts w:hint="default" w:ascii="Times New Roman" w:hAnsi="Times New Roman" w:cs="Times New Roman"/>
          <w:sz w:val="21"/>
          <w:szCs w:val="21"/>
          <w:lang w:eastAsia="zh-CN"/>
        </w:rPr>
        <w:t xml:space="preserve">discussion, companies have different </w:t>
      </w:r>
      <w:r>
        <w:rPr>
          <w:rFonts w:hint="eastAsia" w:ascii="Times New Roman" w:hAnsi="Times New Roman" w:cs="Times New Roman"/>
          <w:sz w:val="21"/>
          <w:szCs w:val="21"/>
          <w:lang w:val="en-US" w:eastAsia="zh-CN"/>
        </w:rPr>
        <w:t xml:space="preserve">views </w:t>
      </w:r>
      <w:r>
        <w:rPr>
          <w:rFonts w:hint="default" w:ascii="Times New Roman" w:hAnsi="Times New Roman" w:cs="Times New Roman"/>
          <w:sz w:val="21"/>
          <w:szCs w:val="21"/>
          <w:lang w:eastAsia="zh-CN"/>
        </w:rPr>
        <w:t>on the definition of the RAN visible QoE values. RAN visible QoE value can be utilized for inform gNB about the UE experience reporting from UE, and RAN visible QoE value can be take</w:t>
      </w:r>
      <w:r>
        <w:rPr>
          <w:rFonts w:hint="eastAsia" w:ascii="Times New Roman" w:hAnsi="Times New Roman" w:cs="Times New Roman"/>
          <w:sz w:val="21"/>
          <w:szCs w:val="21"/>
          <w:lang w:val="en-US" w:eastAsia="zh-CN"/>
        </w:rPr>
        <w:t>n</w:t>
      </w:r>
      <w:r>
        <w:rPr>
          <w:rFonts w:hint="default" w:ascii="Times New Roman" w:hAnsi="Times New Roman" w:cs="Times New Roman"/>
          <w:sz w:val="21"/>
          <w:szCs w:val="21"/>
          <w:lang w:eastAsia="zh-CN"/>
        </w:rPr>
        <w:t xml:space="preserve"> into account in the gNB, e.g. resource optimization for gNB.</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RAN visible QoE is a set of values derived from QoE metrics, but QoE value will not only derived from RAN visible QoE metrics, so it can not be calculated by gNB, it should be calculated by application layer. </w:t>
      </w:r>
    </w:p>
    <w:p>
      <w:pPr>
        <w:jc w:val="both"/>
        <w:rPr>
          <w:rFonts w:hint="default" w:ascii="Times New Roman" w:hAnsi="Times New Roman" w:cs="Times New Roman"/>
          <w:lang w:val="en-US"/>
        </w:rPr>
      </w:pPr>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3</w:t>
      </w:r>
      <w:r>
        <w:rPr>
          <w:rFonts w:hint="default" w:ascii="Times New Roman" w:hAnsi="Times New Roman" w:eastAsia="宋体" w:cs="Times New Roman"/>
          <w:b/>
          <w:sz w:val="21"/>
          <w:szCs w:val="21"/>
          <w:lang w:eastAsia="zh-CN"/>
        </w:rPr>
        <w:t xml:space="preserve">: </w:t>
      </w:r>
      <w:r>
        <w:rPr>
          <w:rFonts w:hint="eastAsia" w:ascii="Times New Roman" w:hAnsi="Times New Roman" w:eastAsia="宋体" w:cs="Times New Roman"/>
          <w:b/>
          <w:sz w:val="21"/>
          <w:szCs w:val="21"/>
          <w:lang w:val="en-US" w:eastAsia="zh-CN"/>
        </w:rPr>
        <w:t>QoE value should be generated by application layer, RAN2 is leading to discuss how to transfer the QoE value from UE to gNB.</w:t>
      </w:r>
    </w:p>
    <w:p>
      <w:pPr>
        <w:rPr>
          <w:rFonts w:hint="default" w:ascii="Times New Roman" w:hAnsi="Times New Roman" w:eastAsia="等线" w:cs="Times New Roman"/>
          <w:b/>
          <w:sz w:val="22"/>
          <w:szCs w:val="22"/>
        </w:rPr>
      </w:pPr>
    </w:p>
    <w:p>
      <w:pPr>
        <w:pStyle w:val="2"/>
        <w:rPr>
          <w:rFonts w:hint="default" w:ascii="Times New Roman" w:hAnsi="Times New Roman" w:cs="Times New Roman"/>
          <w:sz w:val="40"/>
        </w:rPr>
      </w:pPr>
      <w:r>
        <w:rPr>
          <w:rFonts w:hint="default" w:ascii="Times New Roman" w:hAnsi="Times New Roman" w:cs="Times New Roman"/>
          <w:sz w:val="40"/>
        </w:rPr>
        <w:t>Conclusion</w:t>
      </w:r>
    </w:p>
    <w:p>
      <w:pPr>
        <w:jc w:val="both"/>
        <w:rPr>
          <w:rFonts w:hint="default" w:ascii="Times New Roman" w:hAnsi="Times New Roman" w:eastAsia="宋体" w:cs="Times New Roman"/>
          <w:b/>
          <w:sz w:val="21"/>
          <w:szCs w:val="21"/>
          <w:lang w:eastAsia="zh-CN"/>
        </w:rPr>
      </w:pPr>
      <w:bookmarkStart w:id="1" w:name="_In-sequence_SDU_delivery"/>
      <w:bookmarkEnd w:id="1"/>
      <w:r>
        <w:rPr>
          <w:rFonts w:hint="default" w:ascii="Times New Roman" w:hAnsi="Times New Roman" w:eastAsia="宋体" w:cs="Times New Roman"/>
          <w:b/>
          <w:sz w:val="21"/>
          <w:szCs w:val="21"/>
          <w:lang w:eastAsia="zh-CN"/>
        </w:rPr>
        <w:t xml:space="preserve">Proposal 1: Per-slice QoE measurement </w:t>
      </w:r>
      <w:r>
        <w:rPr>
          <w:rFonts w:hint="default" w:ascii="Times New Roman" w:hAnsi="Times New Roman" w:eastAsia="宋体" w:cs="Times New Roman"/>
          <w:b/>
          <w:sz w:val="21"/>
          <w:szCs w:val="21"/>
          <w:lang w:val="en-US" w:eastAsia="zh-CN"/>
        </w:rPr>
        <w:t>information</w:t>
      </w:r>
      <w:r>
        <w:rPr>
          <w:rFonts w:hint="default" w:ascii="Times New Roman" w:hAnsi="Times New Roman" w:eastAsia="宋体" w:cs="Times New Roman"/>
          <w:b/>
          <w:sz w:val="21"/>
          <w:szCs w:val="21"/>
          <w:lang w:eastAsia="zh-CN"/>
        </w:rPr>
        <w:t xml:space="preserve"> should be included </w:t>
      </w:r>
      <w:r>
        <w:rPr>
          <w:rFonts w:hint="default" w:ascii="Times New Roman" w:hAnsi="Times New Roman" w:eastAsia="宋体" w:cs="Times New Roman"/>
          <w:b/>
          <w:sz w:val="21"/>
          <w:szCs w:val="21"/>
          <w:lang w:val="en-US" w:eastAsia="zh-CN"/>
        </w:rPr>
        <w:t>in QoE configuration container, LS to SA4 is needed</w:t>
      </w:r>
      <w:r>
        <w:rPr>
          <w:rFonts w:hint="default" w:ascii="Times New Roman" w:hAnsi="Times New Roman" w:eastAsia="宋体" w:cs="Times New Roman"/>
          <w:b/>
          <w:sz w:val="21"/>
          <w:szCs w:val="21"/>
          <w:lang w:eastAsia="zh-CN"/>
        </w:rPr>
        <w:t>.</w:t>
      </w:r>
    </w:p>
    <w:p>
      <w:pPr>
        <w:jc w:val="both"/>
        <w:rPr>
          <w:rFonts w:hint="default" w:ascii="Times New Roman" w:hAnsi="Times New Roman" w:eastAsia="宋体" w:cs="Times New Roman"/>
          <w:b/>
          <w:sz w:val="21"/>
          <w:szCs w:val="21"/>
          <w:lang w:val="en-US" w:eastAsia="zh-CN"/>
        </w:rPr>
      </w:pPr>
      <w:bookmarkStart w:id="2" w:name="_GoBack"/>
      <w:bookmarkEnd w:id="2"/>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2</w:t>
      </w:r>
      <w:r>
        <w:rPr>
          <w:rFonts w:hint="default" w:ascii="Times New Roman" w:hAnsi="Times New Roman" w:eastAsia="宋体" w:cs="Times New Roman"/>
          <w:b/>
          <w:sz w:val="21"/>
          <w:szCs w:val="21"/>
          <w:lang w:eastAsia="zh-CN"/>
        </w:rPr>
        <w:t xml:space="preserve">: </w:t>
      </w:r>
      <w:r>
        <w:rPr>
          <w:rFonts w:hint="eastAsia" w:ascii="Times New Roman" w:hAnsi="Times New Roman" w:eastAsia="宋体" w:cs="Times New Roman"/>
          <w:b/>
          <w:sz w:val="21"/>
          <w:szCs w:val="21"/>
          <w:lang w:val="en-US" w:eastAsia="zh-CN"/>
        </w:rPr>
        <w:t>QoE reporting priority should be included in the QoE configuration, and no need to send to UE</w:t>
      </w:r>
      <w:r>
        <w:rPr>
          <w:rFonts w:hint="default" w:ascii="Times New Roman" w:hAnsi="Times New Roman" w:eastAsia="宋体" w:cs="Times New Roman"/>
          <w:b/>
          <w:sz w:val="21"/>
          <w:szCs w:val="21"/>
          <w:lang w:eastAsia="zh-CN"/>
        </w:rPr>
        <w:t>.</w:t>
      </w:r>
      <w:r>
        <w:rPr>
          <w:rFonts w:hint="eastAsia" w:ascii="Times New Roman" w:hAnsi="Times New Roman" w:eastAsia="宋体" w:cs="Times New Roman"/>
          <w:b/>
          <w:sz w:val="21"/>
          <w:szCs w:val="21"/>
          <w:lang w:val="en-US" w:eastAsia="zh-CN"/>
        </w:rPr>
        <w:t xml:space="preserve"> LS to SA5 is needed.</w:t>
      </w:r>
    </w:p>
    <w:p>
      <w:pPr>
        <w:jc w:val="both"/>
        <w:rPr>
          <w:rFonts w:hint="default" w:ascii="Times New Roman" w:hAnsi="Times New Roman" w:cs="Times New Roman"/>
          <w:lang w:val="en-US"/>
        </w:rPr>
      </w:pPr>
      <w:r>
        <w:rPr>
          <w:rFonts w:hint="default" w:ascii="Times New Roman" w:hAnsi="Times New Roman" w:eastAsia="宋体" w:cs="Times New Roman"/>
          <w:b/>
          <w:sz w:val="21"/>
          <w:szCs w:val="21"/>
          <w:lang w:eastAsia="zh-CN"/>
        </w:rPr>
        <w:t xml:space="preserve">Proposal </w:t>
      </w:r>
      <w:r>
        <w:rPr>
          <w:rFonts w:hint="eastAsia" w:ascii="Times New Roman" w:hAnsi="Times New Roman" w:eastAsia="宋体" w:cs="Times New Roman"/>
          <w:b/>
          <w:sz w:val="21"/>
          <w:szCs w:val="21"/>
          <w:lang w:val="en-US" w:eastAsia="zh-CN"/>
        </w:rPr>
        <w:t>3</w:t>
      </w:r>
      <w:r>
        <w:rPr>
          <w:rFonts w:hint="default" w:ascii="Times New Roman" w:hAnsi="Times New Roman" w:eastAsia="宋体" w:cs="Times New Roman"/>
          <w:b/>
          <w:sz w:val="21"/>
          <w:szCs w:val="21"/>
          <w:lang w:eastAsia="zh-CN"/>
        </w:rPr>
        <w:t xml:space="preserve">: </w:t>
      </w:r>
      <w:r>
        <w:rPr>
          <w:rFonts w:hint="eastAsia" w:ascii="Times New Roman" w:hAnsi="Times New Roman" w:eastAsia="宋体" w:cs="Times New Roman"/>
          <w:b/>
          <w:sz w:val="21"/>
          <w:szCs w:val="21"/>
          <w:lang w:val="en-US" w:eastAsia="zh-CN"/>
        </w:rPr>
        <w:t>QoE value should be generated by application layer, RAN2 is leading to discuss how to transfer the QoE value from UE to gNB.</w:t>
      </w:r>
    </w:p>
    <w:p>
      <w:pPr>
        <w:jc w:val="both"/>
        <w:rPr>
          <w:rFonts w:hint="default" w:ascii="Times New Roman" w:hAnsi="Times New Roman" w:eastAsia="宋体" w:cs="Times New Roman"/>
          <w:b/>
          <w:sz w:val="21"/>
          <w:szCs w:val="21"/>
          <w:lang w:eastAsia="zh-CN"/>
        </w:rPr>
      </w:pPr>
    </w:p>
    <w:sectPr>
      <w:footerReference r:id="rId6" w:type="default"/>
      <w:headerReference r:id="rId5" w:type="even"/>
      <w:footnotePr>
        <w:numRestart w:val="eachSect"/>
      </w:footnotePr>
      <w:pgSz w:w="11907" w:h="16840"/>
      <w:pgMar w:top="1134" w:right="1134" w:bottom="1080"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docPartObj>
        <w:docPartGallery w:val="autotext"/>
      </w:docPartObj>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4B3"/>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6FC740B"/>
    <w:rsid w:val="09DD3685"/>
    <w:rsid w:val="0A393B80"/>
    <w:rsid w:val="0F94465A"/>
    <w:rsid w:val="10FE6AE2"/>
    <w:rsid w:val="1E754739"/>
    <w:rsid w:val="210D6061"/>
    <w:rsid w:val="27997C75"/>
    <w:rsid w:val="2C9A2DA6"/>
    <w:rsid w:val="3371510F"/>
    <w:rsid w:val="34D439B4"/>
    <w:rsid w:val="3D92647A"/>
    <w:rsid w:val="3E91575D"/>
    <w:rsid w:val="40BF6BC9"/>
    <w:rsid w:val="41542CFD"/>
    <w:rsid w:val="4744543E"/>
    <w:rsid w:val="4F2A2171"/>
    <w:rsid w:val="50622B1F"/>
    <w:rsid w:val="50FE5570"/>
    <w:rsid w:val="52A92335"/>
    <w:rsid w:val="5338060D"/>
    <w:rsid w:val="55192BD3"/>
    <w:rsid w:val="563343BC"/>
    <w:rsid w:val="564E5371"/>
    <w:rsid w:val="59A925CC"/>
    <w:rsid w:val="5D7E1613"/>
    <w:rsid w:val="5E965748"/>
    <w:rsid w:val="5FB23A2F"/>
    <w:rsid w:val="61DC0023"/>
    <w:rsid w:val="6C535F86"/>
    <w:rsid w:val="6FF65754"/>
    <w:rsid w:val="758902E5"/>
    <w:rsid w:val="7785551F"/>
    <w:rsid w:val="77D921EC"/>
    <w:rsid w:val="783A3050"/>
    <w:rsid w:val="7BC84A7A"/>
    <w:rsid w:val="7DAC20BE"/>
    <w:rsid w:val="7EC37C1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40" w:lineRule="auto"/>
      <w:jc w:val="both"/>
      <w:textAlignment w:val="baseline"/>
    </w:pPr>
    <w:rPr>
      <w:rFonts w:ascii="Arial" w:hAnsi="Arial" w:eastAsia="Times New Roman" w:cs="Times New Roman"/>
      <w:sz w:val="20"/>
      <w:szCs w:val="20"/>
      <w:lang w:val="en-GB" w:eastAsia="zh-CN" w:bidi="ar-SA"/>
    </w:rPr>
  </w:style>
  <w:style w:type="paragraph" w:styleId="2">
    <w:name w:val="heading 1"/>
    <w:next w:val="1"/>
    <w:link w:val="2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1"/>
    <w:next w:val="1"/>
    <w:link w:val="28"/>
    <w:qFormat/>
    <w:uiPriority w:val="0"/>
    <w:pPr>
      <w:tabs>
        <w:tab w:val="left" w:pos="432"/>
      </w:tabs>
      <w:outlineLvl w:val="3"/>
    </w:pPr>
    <w:rPr>
      <w:sz w:val="24"/>
      <w:szCs w:val="24"/>
    </w:rPr>
  </w:style>
  <w:style w:type="paragraph" w:styleId="6">
    <w:name w:val="heading 5"/>
    <w:basedOn w:val="5"/>
    <w:next w:val="1"/>
    <w:link w:val="29"/>
    <w:qFormat/>
    <w:uiPriority w:val="0"/>
    <w:p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line="240" w:lineRule="auto"/>
      <w:ind w:left="2438" w:hanging="1134"/>
    </w:pPr>
    <w:rPr>
      <w:rFonts w:ascii="Arial" w:hAnsi="Arial" w:eastAsia="Times New Roman" w:cs="Times New Roman"/>
      <w:kern w:val="20"/>
      <w:sz w:val="20"/>
      <w:szCs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basedOn w:val="21"/>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Char"/>
    <w:basedOn w:val="21"/>
    <w:link w:val="2"/>
    <w:qFormat/>
    <w:uiPriority w:val="0"/>
    <w:rPr>
      <w:rFonts w:ascii="Arial" w:hAnsi="Arial" w:eastAsia="Times New Roman" w:cs="Arial"/>
      <w:sz w:val="36"/>
      <w:szCs w:val="36"/>
      <w:lang w:val="en-GB" w:eastAsia="zh-CN"/>
    </w:rPr>
  </w:style>
  <w:style w:type="character" w:customStyle="1" w:styleId="26">
    <w:name w:val="标题 2 Char"/>
    <w:basedOn w:val="21"/>
    <w:link w:val="3"/>
    <w:qFormat/>
    <w:uiPriority w:val="0"/>
    <w:rPr>
      <w:rFonts w:ascii="Arial" w:hAnsi="Arial" w:eastAsia="Times New Roman" w:cs="Arial"/>
      <w:sz w:val="32"/>
      <w:szCs w:val="32"/>
      <w:lang w:val="en-GB" w:eastAsia="zh-CN"/>
    </w:rPr>
  </w:style>
  <w:style w:type="character" w:customStyle="1" w:styleId="27">
    <w:name w:val="标题 3 Char"/>
    <w:basedOn w:val="21"/>
    <w:link w:val="4"/>
    <w:qFormat/>
    <w:uiPriority w:val="0"/>
    <w:rPr>
      <w:rFonts w:ascii="Arial" w:hAnsi="Arial" w:eastAsia="Times New Roman" w:cs="Arial"/>
      <w:sz w:val="28"/>
      <w:szCs w:val="28"/>
      <w:lang w:val="en-GB" w:eastAsia="zh-CN"/>
    </w:rPr>
  </w:style>
  <w:style w:type="character" w:customStyle="1" w:styleId="28">
    <w:name w:val="标题 4 Char"/>
    <w:basedOn w:val="21"/>
    <w:link w:val="5"/>
    <w:qFormat/>
    <w:uiPriority w:val="0"/>
    <w:rPr>
      <w:rFonts w:ascii="Arial" w:hAnsi="Arial" w:eastAsia="Times New Roman" w:cs="Arial"/>
      <w:sz w:val="24"/>
      <w:szCs w:val="24"/>
      <w:lang w:val="en-GB" w:eastAsia="zh-CN"/>
    </w:rPr>
  </w:style>
  <w:style w:type="character" w:customStyle="1" w:styleId="29">
    <w:name w:val="标题 5 Char"/>
    <w:basedOn w:val="21"/>
    <w:link w:val="6"/>
    <w:qFormat/>
    <w:uiPriority w:val="0"/>
    <w:rPr>
      <w:rFonts w:ascii="Arial" w:hAnsi="Arial" w:eastAsia="Times New Roman" w:cs="Arial"/>
      <w:lang w:val="en-GB" w:eastAsia="zh-CN"/>
    </w:rPr>
  </w:style>
  <w:style w:type="character" w:customStyle="1" w:styleId="30">
    <w:name w:val="标题 6 Char"/>
    <w:basedOn w:val="21"/>
    <w:link w:val="7"/>
    <w:qFormat/>
    <w:uiPriority w:val="0"/>
    <w:rPr>
      <w:rFonts w:ascii="Arial" w:hAnsi="Arial" w:eastAsia="Times New Roman" w:cs="Arial"/>
      <w:sz w:val="20"/>
      <w:szCs w:val="20"/>
      <w:lang w:val="en-GB" w:eastAsia="zh-CN"/>
    </w:rPr>
  </w:style>
  <w:style w:type="character" w:customStyle="1" w:styleId="31">
    <w:name w:val="标题 7 Char"/>
    <w:basedOn w:val="21"/>
    <w:link w:val="8"/>
    <w:qFormat/>
    <w:uiPriority w:val="0"/>
    <w:rPr>
      <w:rFonts w:ascii="Arial" w:hAnsi="Arial" w:eastAsia="Times New Roman" w:cs="Arial"/>
      <w:sz w:val="20"/>
      <w:szCs w:val="20"/>
      <w:lang w:val="en-GB" w:eastAsia="zh-CN"/>
    </w:rPr>
  </w:style>
  <w:style w:type="character" w:customStyle="1" w:styleId="32">
    <w:name w:val="标题 8 Char"/>
    <w:basedOn w:val="21"/>
    <w:link w:val="9"/>
    <w:qFormat/>
    <w:uiPriority w:val="0"/>
    <w:rPr>
      <w:rFonts w:ascii="Arial" w:hAnsi="Arial" w:eastAsia="Times New Roman" w:cs="Arial"/>
      <w:sz w:val="20"/>
      <w:szCs w:val="20"/>
      <w:lang w:val="en-GB" w:eastAsia="zh-CN"/>
    </w:rPr>
  </w:style>
  <w:style w:type="character" w:customStyle="1" w:styleId="33">
    <w:name w:val="标题 9 Char"/>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Char"/>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Char"/>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Char"/>
    <w:basedOn w:val="21"/>
    <w:link w:val="16"/>
    <w:qFormat/>
    <w:uiPriority w:val="99"/>
    <w:rPr>
      <w:rFonts w:ascii="Arial" w:hAnsi="Arial" w:eastAsia="Times New Roman" w:cs="Times New Roman"/>
      <w:sz w:val="20"/>
      <w:szCs w:val="20"/>
      <w:lang w:val="en-GB" w:eastAsia="zh-CN"/>
    </w:rPr>
  </w:style>
  <w:style w:type="character" w:customStyle="1" w:styleId="45">
    <w:name w:val="正文文本 Char"/>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Char"/>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Char"/>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Char"/>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line="240" w:lineRule="auto"/>
    </w:pPr>
    <w:rPr>
      <w:rFonts w:ascii="Arial" w:hAnsi="Arial" w:cs="Times New Roman" w:eastAsiaTheme="minorEastAsia"/>
      <w:sz w:val="20"/>
      <w:szCs w:val="20"/>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eastAsia="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Char"/>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Revision"/>
    <w:hidden/>
    <w:semiHidden/>
    <w:qFormat/>
    <w:uiPriority w:val="99"/>
    <w:pPr>
      <w:spacing w:after="0" w:line="240" w:lineRule="auto"/>
    </w:pPr>
    <w:rPr>
      <w:rFonts w:ascii="Arial" w:hAnsi="Arial" w:eastAsia="Times New Roman" w:cs="Times New Roman"/>
      <w:sz w:val="20"/>
      <w:szCs w:val="20"/>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67"/>
    <w:link w:val="68"/>
    <w:qFormat/>
    <w:uiPriority w:val="0"/>
    <w:pPr>
      <w:keepLines/>
      <w:overflowPunct/>
      <w:autoSpaceDE/>
      <w:autoSpaceDN/>
      <w:adjustRightInd/>
      <w:spacing w:after="240"/>
      <w:jc w:val="center"/>
      <w:textAlignment w:val="auto"/>
    </w:pPr>
    <w:rPr>
      <w:rFonts w:eastAsia="宋体"/>
      <w:lang w:eastAsia="en-US"/>
    </w:rPr>
  </w:style>
  <w:style w:type="paragraph" w:customStyle="1" w:styleId="67">
    <w:name w:val="TH"/>
    <w:basedOn w:val="1"/>
    <w:qFormat/>
    <w:uiPriority w:val="0"/>
    <w:pPr>
      <w:keepNext/>
      <w:keepLines/>
      <w:spacing w:before="60"/>
      <w:jc w:val="center"/>
    </w:pPr>
    <w:rPr>
      <w:rFonts w:ascii="Arial" w:hAnsi="Arial" w:eastAsia="MS Mincho"/>
      <w:b/>
    </w:rPr>
  </w:style>
  <w:style w:type="character" w:customStyle="1" w:styleId="68">
    <w:name w:val="TF Char"/>
    <w:link w:val="66"/>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Unresolved Mention"/>
    <w:basedOn w:val="21"/>
    <w:unhideWhenUsed/>
    <w:qFormat/>
    <w:uiPriority w:val="99"/>
    <w:rPr>
      <w:color w:val="605E5C"/>
      <w:shd w:val="clear" w:color="auto" w:fill="E1DFDD"/>
    </w:rPr>
  </w:style>
  <w:style w:type="character" w:customStyle="1" w:styleId="73">
    <w:name w:val="Mention"/>
    <w:basedOn w:val="21"/>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5">
    <w:name w:val="正文1"/>
    <w:qFormat/>
    <w:uiPriority w:val="0"/>
    <w:pPr>
      <w:spacing w:before="100" w:beforeAutospacing="1" w:after="120"/>
    </w:pPr>
    <w:rPr>
      <w:rFonts w:ascii="Times New Roman" w:hAnsi="Times New Roman" w:eastAsia="MS Mincho" w:cs="Times New Roman"/>
      <w:sz w:val="22"/>
      <w:szCs w:val="22"/>
      <w:lang w:val="en-US" w:eastAsia="ko-KR" w:bidi="ar-SA"/>
    </w:rPr>
  </w:style>
  <w:style w:type="paragraph" w:styleId="76">
    <w:name w:val="No Spacing"/>
    <w:qFormat/>
    <w:uiPriority w:val="99"/>
    <w:pPr>
      <w:spacing w:after="160" w:line="259" w:lineRule="auto"/>
    </w:pPr>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4C4EBDAD-F25C-4923-B5F8-0F15B0BFAADC}">
  <ds:schemaRefs/>
</ds:datastoreItem>
</file>

<file path=customXml/itemProps3.xml><?xml version="1.0" encoding="utf-8"?>
<ds:datastoreItem xmlns:ds="http://schemas.openxmlformats.org/officeDocument/2006/customXml" ds:itemID="{7957D943-A877-475D-BA92-1F9DEC590F82}">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47B6C18C-1520-4B3B-B15B-8E3929AD4F96}">
  <ds:schemaRefs/>
</ds:datastoreItem>
</file>

<file path=docProps/app.xml><?xml version="1.0" encoding="utf-8"?>
<Properties xmlns="http://schemas.openxmlformats.org/officeDocument/2006/extended-properties" xmlns:vt="http://schemas.openxmlformats.org/officeDocument/2006/docPropsVTypes">
  <Template>Normal</Template>
  <Pages>2</Pages>
  <Words>821</Words>
  <Characters>4680</Characters>
  <Lines>39</Lines>
  <Paragraphs>10</Paragraphs>
  <TotalTime>0</TotalTime>
  <ScaleCrop>false</ScaleCrop>
  <LinksUpToDate>false</LinksUpToDate>
  <CharactersWithSpaces>5491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China Unicom</cp:lastModifiedBy>
  <dcterms:modified xsi:type="dcterms:W3CDTF">2022-08-09T06:40:39Z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2052-11.8.2.11542</vt:lpwstr>
  </property>
  <property fmtid="{D5CDD505-2E9C-101B-9397-08002B2CF9AE}" pid="20" name="ICV">
    <vt:lpwstr>6D0D09204F7C40F18608E6566A42E21B</vt:lpwstr>
  </property>
</Properties>
</file>